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23B" w:rsidRPr="00D35C8E" w:rsidRDefault="00D35C8E">
      <w:pPr>
        <w:rPr>
          <w:lang w:val="uk-UA"/>
        </w:rPr>
      </w:pPr>
      <w:r>
        <w:rPr>
          <w:lang w:val="uk-UA"/>
        </w:rPr>
        <w:t>Якість теплової енергії становить сукупність термодинамічних, гідравлічних показників та кількісних параметрів теплоносія і повинна відповідати ДБН В.2.5-67:2013 «Опалення, вентиляція та кондиціонування» затверджених Міністерством регіонального розвитку, будівництва та житлово-комунального господарства України.</w:t>
      </w:r>
      <w:bookmarkStart w:id="0" w:name="_GoBack"/>
      <w:bookmarkEnd w:id="0"/>
    </w:p>
    <w:sectPr w:rsidR="00F5323B" w:rsidRPr="00D35C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C8E"/>
    <w:rsid w:val="00087F6F"/>
    <w:rsid w:val="00D35C8E"/>
    <w:rsid w:val="00DF0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AACBC5-3AE4-4AFA-A3AF-8B03F98BE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46</Words>
  <Characters>267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2021-01-05T13:53:00Z</dcterms:created>
  <dcterms:modified xsi:type="dcterms:W3CDTF">2021-01-05T13:56:00Z</dcterms:modified>
</cp:coreProperties>
</file>